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FCDCD" w:themeFill="background2" w:themeFillShade="E5"/>
        <w:tblLook w:val="04A0" w:firstRow="1" w:lastRow="0" w:firstColumn="1" w:lastColumn="0" w:noHBand="0" w:noVBand="1"/>
      </w:tblPr>
      <w:tblGrid>
        <w:gridCol w:w="8522"/>
      </w:tblGrid>
      <w:tr w:rsidR="00AE2B64">
        <w:trPr>
          <w:trHeight w:val="325"/>
        </w:trPr>
        <w:tc>
          <w:tcPr>
            <w:tcW w:w="8522" w:type="dxa"/>
            <w:shd w:val="clear" w:color="auto" w:fill="CFCDCD" w:themeFill="background2" w:themeFillShade="E5"/>
          </w:tcPr>
          <w:p w:rsidR="00AE2B64" w:rsidRDefault="00622F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RELATÓRIO DE SUPERVISÃO DE ESTABELECIMENTO</w:t>
            </w:r>
          </w:p>
        </w:tc>
      </w:tr>
    </w:tbl>
    <w:p w:rsidR="00AE2B64" w:rsidRDefault="00AE2B6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E2B64">
        <w:trPr>
          <w:trHeight w:val="339"/>
        </w:trPr>
        <w:tc>
          <w:tcPr>
            <w:tcW w:w="8522" w:type="dxa"/>
            <w:shd w:val="clear" w:color="auto" w:fill="CFCDCD" w:themeFill="background2" w:themeFillShade="E5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t-BR"/>
              </w:rPr>
              <w:t>A - IDENTIFICAÇÃO DO ESTABELECIMENTO</w:t>
            </w:r>
          </w:p>
        </w:tc>
      </w:tr>
      <w:tr w:rsidR="00AE2B64">
        <w:trPr>
          <w:trHeight w:val="254"/>
        </w:trPr>
        <w:tc>
          <w:tcPr>
            <w:tcW w:w="8522" w:type="dxa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Registro no SIM nº:</w:t>
            </w:r>
            <w:r w:rsidR="00814BD5"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 xml:space="preserve">                                                                                     Data:</w:t>
            </w:r>
            <w:bookmarkStart w:id="0" w:name="_GoBack"/>
            <w:bookmarkEnd w:id="0"/>
          </w:p>
        </w:tc>
      </w:tr>
      <w:tr w:rsidR="00AE2B64">
        <w:trPr>
          <w:trHeight w:val="218"/>
        </w:trPr>
        <w:tc>
          <w:tcPr>
            <w:tcW w:w="8522" w:type="dxa"/>
          </w:tcPr>
          <w:p w:rsidR="00AE2B64" w:rsidRDefault="00622F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Nome comercial / fantasia:</w:t>
            </w:r>
          </w:p>
        </w:tc>
      </w:tr>
      <w:tr w:rsidR="00AE2B64">
        <w:trPr>
          <w:trHeight w:val="228"/>
        </w:trPr>
        <w:tc>
          <w:tcPr>
            <w:tcW w:w="8522" w:type="dxa"/>
            <w:shd w:val="clear" w:color="auto" w:fill="auto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CNPJ / CPF:</w:t>
            </w:r>
          </w:p>
        </w:tc>
      </w:tr>
      <w:tr w:rsidR="00AE2B64">
        <w:trPr>
          <w:trHeight w:val="209"/>
        </w:trPr>
        <w:tc>
          <w:tcPr>
            <w:tcW w:w="8522" w:type="dxa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Endereço:</w:t>
            </w:r>
          </w:p>
        </w:tc>
      </w:tr>
      <w:tr w:rsidR="00AE2B64">
        <w:trPr>
          <w:trHeight w:val="218"/>
        </w:trPr>
        <w:tc>
          <w:tcPr>
            <w:tcW w:w="8522" w:type="dxa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Bairro:</w:t>
            </w:r>
          </w:p>
        </w:tc>
      </w:tr>
      <w:tr w:rsidR="00AE2B64">
        <w:tc>
          <w:tcPr>
            <w:tcW w:w="8522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Município:</w:t>
            </w:r>
          </w:p>
        </w:tc>
      </w:tr>
      <w:tr w:rsidR="00AE2B64">
        <w:tc>
          <w:tcPr>
            <w:tcW w:w="8522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Telefone:</w:t>
            </w:r>
          </w:p>
        </w:tc>
      </w:tr>
      <w:tr w:rsidR="00AE2B64">
        <w:tc>
          <w:tcPr>
            <w:tcW w:w="8522" w:type="dxa"/>
          </w:tcPr>
          <w:p w:rsidR="00AE2B64" w:rsidRDefault="00622F7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mail:</w:t>
            </w:r>
          </w:p>
        </w:tc>
      </w:tr>
    </w:tbl>
    <w:p w:rsidR="00AE2B64" w:rsidRDefault="00622F77">
      <w:pPr>
        <w:spacing w:after="0" w:line="260" w:lineRule="auto"/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LEGENDA: C = conforme; NC = não conforme; NA = não </w:t>
      </w:r>
      <w:r>
        <w:rPr>
          <w:b/>
          <w:bCs/>
          <w:sz w:val="16"/>
          <w:szCs w:val="16"/>
        </w:rPr>
        <w:t>aplicável</w:t>
      </w:r>
    </w:p>
    <w:p w:rsidR="00AE2B64" w:rsidRDefault="00AE2B6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E2B64">
        <w:tc>
          <w:tcPr>
            <w:tcW w:w="8522" w:type="dxa"/>
            <w:shd w:val="clear" w:color="auto" w:fill="CFCDCD" w:themeFill="background2" w:themeFillShade="E5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pt-BR"/>
              </w:rPr>
              <w:t>B - DADOS DA SUPERVISÃO</w:t>
            </w:r>
          </w:p>
        </w:tc>
      </w:tr>
      <w:tr w:rsidR="00AE2B64">
        <w:tc>
          <w:tcPr>
            <w:tcW w:w="8522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Fiscal (Médico Veterinário) responsável pelo estabelecimento:</w:t>
            </w:r>
          </w:p>
        </w:tc>
      </w:tr>
      <w:tr w:rsidR="00AE2B64">
        <w:tc>
          <w:tcPr>
            <w:tcW w:w="8522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Fiscais (Médico Veterinário) responsável pela supervisão:</w:t>
            </w:r>
          </w:p>
        </w:tc>
      </w:tr>
      <w:tr w:rsidR="00AE2B64">
        <w:tc>
          <w:tcPr>
            <w:tcW w:w="8522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Data início:</w:t>
            </w:r>
          </w:p>
        </w:tc>
      </w:tr>
      <w:tr w:rsidR="00AE2B64">
        <w:tc>
          <w:tcPr>
            <w:tcW w:w="8522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pt-BR"/>
              </w:rPr>
              <w:t>Data encerramento:</w:t>
            </w:r>
          </w:p>
        </w:tc>
      </w:tr>
    </w:tbl>
    <w:p w:rsidR="00AE2B64" w:rsidRDefault="00AE2B6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1"/>
        <w:gridCol w:w="390"/>
        <w:gridCol w:w="505"/>
        <w:gridCol w:w="489"/>
      </w:tblGrid>
      <w:tr w:rsidR="00AE2B64">
        <w:trPr>
          <w:trHeight w:val="241"/>
        </w:trPr>
        <w:tc>
          <w:tcPr>
            <w:tcW w:w="8525" w:type="dxa"/>
            <w:gridSpan w:val="4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C - AVALIAÇÃO DO ESTABELECIMENTO - </w:t>
            </w:r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zh-CN" w:bidi="ar"/>
              </w:rPr>
              <w:t>in loco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(124 itens totais)</w:t>
            </w:r>
          </w:p>
        </w:tc>
      </w:tr>
      <w:tr w:rsidR="00AE2B64">
        <w:trPr>
          <w:trHeight w:val="241"/>
        </w:trPr>
        <w:tc>
          <w:tcPr>
            <w:tcW w:w="8525" w:type="dxa"/>
            <w:gridSpan w:val="4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 EDIFICAÇÃO E INSTALAÇÕES (64 itens)</w:t>
            </w:r>
          </w:p>
        </w:tc>
      </w:tr>
      <w:tr w:rsidR="00AE2B64">
        <w:trPr>
          <w:trHeight w:val="241"/>
        </w:trPr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1.1 ÁREA EXTERNA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1.1.1 Área externa distante de fontes produtoras de mau cheiro, livre de objetos em desuso ou estranhos ao ambiente,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vetores e animais no pátio, de acumulo de lixo nas imediações.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1.1.2 Vias de acesso livres de formação de poeira e enpoçamentos, adequadas para a circulação de veículos transportadores.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1.1.3 Área delimitada de modo que não permita a entrada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pessoas não autorizadas e animais.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1.1.4 Acesso independente, não comum a outros usos (habitação).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1.2 ÁGUA DE ABASTECIMENTO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1.2.1 Sistema de abastecimento ligado a rede pública.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1.2.2 Sistema de captação própria, revestido 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distante de fonte de contaminação.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1.2.3 Cloração da água realizada com dosador de cloro, corretamente instalado e garantido o tempo mínimo de de contato com a água (20 min).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1.2.4 Reservatório de água acessível, com volume, pressão e temperatura 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dequados, dotados de tampa em satisfatória condição de uso, livre de vazamentos, infiltrações e descascamentos.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1.2.5 provimento de água quente ou vapor para desenvolvimentos das operações e higienização das dependências, equipamentos e utensílios, gar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antindo que esta chegue aos pontos de utilização com temperatura não inferior a 85º (oitenta e cinco graus centígrados).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1.2.6 Existência de responsável pela higienização do reservatório de água.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1.2.7 Encanamento em estado satisfatório 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ausência de infiltrações.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1.2.8 Disponibilidade de reagentes e equipamentos necessários á análise de potabilidade de água realizadas no estabelecimento.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1.3 ÁGUAS RESIDUAIS E MANEJO DE RESÍDUOS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1.3.1 Sistema de coletas de águas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residuais com dispositivos que evitam o refluxo de mau cheiro e acesso de pragas, com retenção de resíduos.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1.3.2 Sistema de coleta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possui capacidade para receber o volume de água produzido, tempo de vazão suficiente para águas servidas.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1.3.3 Na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área de produção as águas residuais são removidas com auxilio de rodos.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1.3.4 Recipientes para coletas de resíduos no interior do estabelecimento de fácil higienização e transporte, devidamente identificados e higienizados constantemente, uso de sacos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de lixo apropriados, quando necessário, recipientes tampados com acionamento manual.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1.3.5 Retirada frequente dos resíduos da área de processamento, evitando focos de contaminação.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1.3.6 Existência de áreas adequadas para a estocagem dos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resíduos.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1.3.7 Sistema adequado para tratamento de resíduos e efluentes, compatível com a solução escolhida para a destinação final, aprovada pelo órgão competente.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1.4 ESGOTAMENTO SANITÁRIO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1.4.1 A s redes de esgoto sanitárias 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industrial são independentes e exclusivas para o estabelecimento.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1.4.2 Esgoto conectado a rede pública ou com adequado tratamento de resíduos aprovado.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1.5 CONTROLE INTEGRADO DE PRAGAS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1.5.1 Ausência de vetores e pragas urbanas ou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qualquer evidencia de sua presença, como fezes, ninhos e outros.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1.5.2 Adoção de medidas preventivas e corretivas com o objetivo de impedir a atração, o abrigo, o acesso 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lastRenderedPageBreak/>
              <w:t>ou proliferação de vetores e pragas urbanas.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1.5.3 Em caso de adoção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controle químico, existência de comprovante de execução do serviço.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1.5.4 Controle ou programa eficaz e contínuo.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1.6 PISOS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1.6.1 Impermeáveis, antiderrapantes, construido em material resistente, de fácil limpeza e desinfecção,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resistente a choques e a ação de ácidos e álcalis.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1.6.2 Contam com declividade suficiente para escoamento das águas servidas.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1.6.3 Em adequado estado de conservação (livre de defeitos, rachadura, trincas, buracos, etc.).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1.6.4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Canaletas ou ralos gralhados, em local adequado de forma a facilitar o escoamento, com dispositivos acoplados de forma a proteger a entrada de vetores e refluxos de mau cheiro.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1.7 PAREDES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1.7.1 Revestidas co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material impermeável, resistente, não descam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á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vel, de cores claras, na altura adequada para a realização das operações, que permita  fácil higienização e desinfecção.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1.7.2 Impermeabilização com cerâmica, com rejunte de cor clara.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1.7.3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Cantos formados pelas paredes entre si, são arredondados ou angulados, de modo que facilitem a higienização e não favoreçam o acumulo de sujidades.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1.7.4 Paredes construidas sem a utilização de elementos do tipo vazados ou co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bogó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1.8 TETO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1.8.1 Pé direita com altura suficiente para a disposição adequada dos equipamentos, permitindo boas condições de temperatura, ventilação e iluminação.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1.8.2 Constituídos em material impermeável, liso, de cor clara, resistente a umidade, bem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como vedação adequada e de fácil higienização.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1.8.3 Há forro de material adequado em todas as dependências onde se realizem manipulação de produtos comestíveis.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1.8.4 Em adequado estado de conservação.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1.9 ABERTURAS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1.9.1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Aberturas para área externa possuem telas milimétricas á prova de insetos, ou outro método equivalente.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1.9.2 Portas com comunicação para área externa possuem dispositivos de fechamento automático.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1.9.3 Portas e janelas, constituídas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materiais metálicos, de fácil abertura, de fácil higienização, ajustadas aos batentes sem falhas de revestimento.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1.9.4 Portas possuem altura e largura necessárias para o transito de matérias-primas e produtos.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1.10 ILUMINAÇÃO E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VENTILAÇÃO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1.10.1 Iluminação natural ou artificial adequadas a atividade desenvolvida, sem ofuscamento, reflexos fortes, sombras e contrastes excessivos.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1.10.2 Iluminação artificial é feita por meio de luz fria, com dispositivo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proteção contra estilhaços ou quedas sobre produtos, ou por meio de lâmpadas de led.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1.10.3 Instalação de exaustores ou sistema para climatização ambiente ou ventilação natural suficiente, capazes de garantir o controle térmico, ambiente livre de conde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nsação de vapores, fumaça, gases e outras possíveis contaminações.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1.10.4 Existência de registros periódicos dos procedimentos de limpeza e manutenção dos componentes do sistema de climatização.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1.10.5 Captação e direção da corrente de ar não geram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contra fluxo.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1.11 VESTIÁRIOS E SANITÁRIOS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1.11.1 Acesso independente de qualquer outra dependência da indústria.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1.11.2 Dimensões e instalações compatíveis com o número de trabalhadores.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1.11.3.Área de vestiário para troca 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guarda de roupas são separadas fisicamente da área de privadas e mictórios.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1.11.4 Providos de duchas com água morna, bancos, armários para guarda individual de pertences, sem o uso de madeira para confecção destes. 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1.11.5 Os armários para a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guarda individual de pertences permitem a separação da roupa comum dos uniformes de trabalho.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1.11.6 Sanitários de assentos ou mictórios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1.11.7 Instalações servidas de lavatórios de mãos com torneira acionada a pedal ou outro meio que não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utilize as mãos para abertura da torneira, providos de sabão liquido, toalha descartáveis ou dispositivos automáticos para secagem das mãos, lixeira com acionamento não manual.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1.11.8 Iluminação e ventilação adequados.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1.11.9 Para vestiários e sani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tários que não são contíguos ao estabelecimento, o acesso é pavimentado e coberto.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1.11.10 Vestiários e sanitários independentes, de uso exclusive para manipuladores de alimentos.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1.11.11 Apresenta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-se organizados, em adequado estado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conservação, sem acumulo de materiais estranhos ao meio, sem presença de utensílios de uso exclusivo para a área de produção (facas, chairas, etc.).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1.11.12 Instalações sanitárias para visitantes instaladas totalmente independentes da área de produção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e mantidos higienizados.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1.12 ALMOXARIFADOS E DEPÓSITO DE PRODUTOS QUÍMICOS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1.12.1 Local de armazenamento de produtos químicos utilizados para limpeza e desinfecção das dependências, estão em local chaveado (caixas, armários, sala) e com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identificação.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1.12.2 Todos os produtos estão identificados e possuem ficha técnica.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1.12.3 O almoxarifado possui acesso independente das demais seções da empresa, com comunicação por óculo para a passagem de materiais, com ventilação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adequada.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1.13 LAYOUT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1.13.1 Adequado ao processo produtivo, número, capacidade e distribuição das dependências de acordo com o ramo de atividade, volume de produção e expedição, número de funcionários.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1.13.2 Área para recepção 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depósito de matéria-prima, ingredientes e embalagens destinadas a área de produção, armazenamento e expedição do produto final.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1.13.3 Seção de embalagem secundária anexa a sala de processamentos.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8525" w:type="dxa"/>
            <w:gridSpan w:val="4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2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.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EQUIPAMENTOS, MÓVEIS E UTENSÍLIOS (21 itens)</w:t>
            </w: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2.1 LAVATÓRIOS DE MÃOS E HIGIENIZADORES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2.1.1 Existência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avatórios de mãos em todas as áreas onde são manipulados produtos comestíveis ou não, providos com água corrente, torneiras com acionamento não manual, sabão liquido e inodoro, distribuídos em posições adequadas em relação ao fluxo de produção, em número s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uficiente. 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2.1.2 Higienizadores possuem água circulante ou outro meio de renovação constante da mesma, com temperatura igual ou superior a 85ºC.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2.1.3 Lavatórios de mãos e higienizadores são de aço inoxidavel.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2.1.4 Nas seções onde se faz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necessário, os lavatórios de mãos possuem toalhas de papel descartáveis ou dispositivos para secagem automática das mãos, e coletor de papel sem acionamento manual.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2.2 EQUIPAMENTOS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2.2.1 Material de construção dos equipamentos são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adequados para a finalidade (preferência por aço inox ou outro metal resistente a corrosão).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2.2.2 Superfícies lisas, que não permitem o acúmulo de resíduos, de fácil higienização, resistentes a impactos e em bom estado de conservação.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2.2.3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Instalação e distribuição dos equipamentos permite fácil acesso para higienização das estruturas.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2.2.4 Em número, desenhos e capacidade condizentes com as atividades desenvolvidas.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2.3 MÓVEIS (mesas, bancadas, vitrines, estantes...)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2.3.1 Material apropriado, preferencialmente aço inoxidável, resistente, impermeáveis, em adequado estado de conservação, com superfícies integras, lisas e com cantos angulados, que não permitam o acumulo de resíduos.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2.3.2 Não há presença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madeiras, mesmo na constituição interna dos móveis.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2.4 UTENSÍLIOS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2.4.1 Material adequado de superfície lisa, sem proeminências, não poroso, que permita adequada higienização.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2.4.2 Não há presença de madeira na constituição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qualquer utensílio.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2.4.3 A guarda de utensílios é feito em local fechado, como armários na sala de produção  ou em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sala especifica para estes.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2.4.4 Estão disponíveis em número suficiente e apropriado ao tipo de operação utilizada.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2.5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HIGIENIZAÇÃO DOS EQUIPAMENTOS MÓVEIS E UTENSÍLIOS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2.5.1 Existência de um responsável pela operação de higienização comprovadamente capacitado.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2.5.2 Frequência de higienização adequada.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2.5.3.Produtos de higienização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regularizados pelo ministério da saúde.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2.5.4 Produtos utilizados de forma e diluição adequados.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2.5.5 Disponibilidade dos produtos de higienização necessários a realização das operações.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2.5.6 Disponibilidade e adequação dos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utensílios necessários  a realização das operações em bom estado de conservação e número suficiente.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2.5.7 Adequada higienização.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8525" w:type="dxa"/>
            <w:gridSpan w:val="4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3.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MANIPULADORES (11 itens)</w:t>
            </w: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3.1 UNIFORMES E ASSEIO PESSOAL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3.1.1 Utilização de uniformes em cores claras, em bom estado de conservação, adequados a atividade e exclusivo da área de produção de alimentos. 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3.1.2 Pessoal que exerce atividades não relacionadas a produtos comestíveis, uniformes coloridos.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3.1.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 Protetores impermeáveis de roupas, confeccionados em plástico transparente ou branco.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3.1.4 Uso completo de uniforme, touca,, calça, jaleco, botas, avental impermeável, conforme a atividade industrial desenvolvida.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3.1.5 Asseio pessoal, boa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apresentação, mãos limpas, unhas curtas, sem esmalte, sem adornos, manipuladores barbeados, uso de toucas com contenção total dos cabelos.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3.2 PROGRAMA DE CAPACITAÇÃO DOS MANIPULADORES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3.2.1 Existência de programas de capacitação adequado e contínuo relacionado a boas práticas de fabricação com registros. 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3.2.2 Cartazes de orientação sobre a correta lavagem d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 mãos e demais hábitos higiênicos, fixados em local estratégico.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3.2.3 Existência de verificação pelo responsável do controle de qualidade do asseio pessoal na entrada dos manipuladores na área de produção.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3.2.4 Existência de treinamento e orientação dos colaboradores quando iniciam as atividades relacionadas a man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ipulação de alimentos, com registro.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3.3 PROGRAMA DE CONTROLE DE SAÚDE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3.3.1 Existência de registro dos atestados de saúde ocupacional, e atestado com comprovação de aptidão á manipulação.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3.3.2 Exames são feitos de forma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periódica, conforme legislação vigente.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8525" w:type="dxa"/>
            <w:gridSpan w:val="4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4.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PRODUÇÃO E TRANSPORTE DO ALIMENTO (31 itens)</w:t>
            </w: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4.1 MATÉRIA-PRIMA, INGREDIENTES E EMBALAGENS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4.1.1 Operações de recepção de matéria-prima, ingredientes e embalagens são realizadas em local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protegido e isolado da área de processamento.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4.1.2 Matérias-primas, ingredientes e embalagens são inspecionados na recepção, há registo de controle.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4.1.3 Matérias-primas e ingredientes aguardando liberação e aqueles aprovados estão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devidamente identificados.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4.1.4 Matérias-primas, ingredientes e embalagens reprovados no controle de qualidade são devolvidos imediatamente ou identificados e armazenados em local separado.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4.1.5 Rótulos da matéria-prima e ingredientes atendem a l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egislação vigente.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4.1.6 Armazenamento em local adequado e organizado, sobre estrados distantes do piso e ou sobre paletes, bem conservados e limpos, ou sobre outro sistema aprovado, afastados das paredes e distantes do teto, de forma que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permita apropriada higienização, iluminação e circulação de ar.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4.1.7 Uso das matérias-primas, ingredientes e embalagens respeitada a ordem de entrada dos mesmos, sendo observado o pra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z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o de validade.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4.1.8 Acondicionamento, organização e higiene ad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equadas as embalagens a serem utilizadas.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4.1.9 Câmara de resfriamento, câmara de congelamento, freezer. Rede de frio em geral, adequadas ao volume e aos diferentes tipos de matérias-primas e ingredientes.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4.2 FLUXO DE PRODUÇÃO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4.2.1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Locais para pré-preparo (área suja) isolados da área de prepare por barreira física ou técnica.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4.2.2 Controle da circulação, conforme o fluxo de produção, e acesso pessoal.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4.2.3 Conservação adequada de materiais destinados ao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processamento.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4.2.4 Fluxo de produção ordenado, linear e sem cruzamento (contaminação cruzada, contra fluxo).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4.3 CÂMARAS DE RESFRIAMENTO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4.3.1 Constituídas de paredes lisas, de fácil higienização, com portas metálicas e outro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matéria adequado, com dimensões suficientes para atender a demanda de fluxo e produção. Com iluminação e ventilação adequadas e sem a presença de ralos ou canaletas no seu interior.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4.3.2 Existem câmaras separadas para cada etapa do processo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fabricação, caso não sejam separadas, são tomados os devidos cuidados para evitar contaminação cruzada.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4.3.3 Presença de equipamentos para controle de temperatura visíveis e de fácil acesso.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4.4 ROTULAGEM E ARMAZENAMENTO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4.4.1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Dizeres de rotulagem com identificação visível, de acordo com a legislação e conforme aprovado pelo SIM.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4.4.2 Produto final acondicionado em embalagens adequadas e íntegras.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4.4.3 Ausência de material estranho, estragado, tóxico, ou que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comprometam a identidade, qualidade, e inocuidade do produto.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4.4.4 Armazenamento em local com condições higiênico-sanitárias e temperaturas adequadas.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4.4.5 Câmaras de resfriamento, câmaras de congelamento, freezers, rede de frio em geral, adequad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as ao volume e aos diferentes tipos de produtos.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4.4.6 Produtos avariados, com prazo de validade vencido, devolvidos ou recolhidos do mercado, devidamente identificados e armazenados em local separado e de forma organizada.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4.4.7 Produtos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finais aguardando resultado analítico ou em quarentena e aqueles aprovados devidamente identificados.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4.5 CONTROLE DE QUALIDADE DO PRODUTO FINAL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4.5.1 Existência de equipamentos e materia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s necessários para a análise do produto final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realizadas no estabelecimento.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4.5.2 Acompanhamento.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 w:line="2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4.6 TRANSPORTE DO PRODUTO FINAL</w:t>
            </w:r>
          </w:p>
        </w:tc>
        <w:tc>
          <w:tcPr>
            <w:tcW w:w="390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4.6.1 Produto expedido e transportado na temperatura especificada no rótulo.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4.6.2 Veículo limpo e em bom estado de conservação e condições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higiênico-sanitárias adequadas para o transporte.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4.6.3 Área de expedição de produtos projetada com cobertura e prolongamento suficiente para a proteção das operações realizadas, com as portas com dimencionamento suficiente para 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carregamento adequado do produto final.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4.6.4 Transporte mantém a identidade e qualidade do produto.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4.6.5 Veículo exclusivo para o transporte de alimento, não transporta outras cargas que comprometam a segurança do produto.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4.6.6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Presença de equipamentos para controle de temperatura, quando o produto necessita de condições especia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 de conservação.</w:t>
            </w:r>
          </w:p>
        </w:tc>
        <w:tc>
          <w:tcPr>
            <w:tcW w:w="390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</w:tbl>
    <w:p w:rsidR="00AE2B64" w:rsidRDefault="00AE2B6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6439"/>
        <w:gridCol w:w="395"/>
        <w:gridCol w:w="505"/>
        <w:gridCol w:w="481"/>
        <w:gridCol w:w="8"/>
      </w:tblGrid>
      <w:tr w:rsidR="00AE2B64">
        <w:trPr>
          <w:trHeight w:val="241"/>
        </w:trPr>
        <w:tc>
          <w:tcPr>
            <w:tcW w:w="7141" w:type="dxa"/>
            <w:gridSpan w:val="2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D - AVALIAÇÃO DO ESTABELECIMENTO - DOCUMENTAL (26 itens)</w:t>
            </w:r>
          </w:p>
        </w:tc>
        <w:tc>
          <w:tcPr>
            <w:tcW w:w="395" w:type="dxa"/>
            <w:shd w:val="clear" w:color="auto" w:fill="CFCDCD" w:themeFill="background2" w:themeFillShade="E5"/>
            <w:vAlign w:val="center"/>
          </w:tcPr>
          <w:p w:rsidR="00AE2B64" w:rsidRDefault="00AE2B6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AE2B6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</w:p>
        </w:tc>
        <w:tc>
          <w:tcPr>
            <w:tcW w:w="489" w:type="dxa"/>
            <w:gridSpan w:val="2"/>
            <w:shd w:val="clear" w:color="auto" w:fill="CFCDCD" w:themeFill="background2" w:themeFillShade="E5"/>
            <w:vAlign w:val="center"/>
          </w:tcPr>
          <w:p w:rsidR="00AE2B64" w:rsidRDefault="00AE2B64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</w:p>
        </w:tc>
      </w:tr>
      <w:tr w:rsidR="00AE2B64">
        <w:trPr>
          <w:trHeight w:val="241"/>
        </w:trPr>
        <w:tc>
          <w:tcPr>
            <w:tcW w:w="7141" w:type="dxa"/>
            <w:gridSpan w:val="2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5. PROGRAMAS DE AUTO CONTROLE (3 itens)</w:t>
            </w:r>
          </w:p>
        </w:tc>
        <w:tc>
          <w:tcPr>
            <w:tcW w:w="395" w:type="dxa"/>
            <w:shd w:val="clear" w:color="auto" w:fill="CFCDCD" w:themeFill="background2" w:themeFillShade="E5"/>
            <w:vAlign w:val="center"/>
          </w:tcPr>
          <w:p w:rsidR="00AE2B64" w:rsidRDefault="00AE2B64">
            <w:pPr>
              <w:spacing w:after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AE2B64">
            <w:pPr>
              <w:spacing w:after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</w:p>
        </w:tc>
        <w:tc>
          <w:tcPr>
            <w:tcW w:w="489" w:type="dxa"/>
            <w:gridSpan w:val="2"/>
            <w:shd w:val="clear" w:color="auto" w:fill="CFCDCD" w:themeFill="background2" w:themeFillShade="E5"/>
            <w:vAlign w:val="center"/>
          </w:tcPr>
          <w:p w:rsidR="00AE2B64" w:rsidRDefault="00AE2B64">
            <w:pPr>
              <w:spacing w:after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</w:p>
        </w:tc>
      </w:tr>
      <w:tr w:rsidR="00AE2B64">
        <w:trPr>
          <w:trHeight w:val="241"/>
        </w:trPr>
        <w:tc>
          <w:tcPr>
            <w:tcW w:w="7141" w:type="dxa"/>
            <w:gridSpan w:val="2"/>
            <w:shd w:val="clear" w:color="auto" w:fill="auto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5.1 Descrição dos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processos no Manual BPF é condizente com a operação realizada in loco no processo de fabricação.</w:t>
            </w:r>
          </w:p>
        </w:tc>
        <w:tc>
          <w:tcPr>
            <w:tcW w:w="39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gridSpan w:val="2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141" w:type="dxa"/>
            <w:gridSpan w:val="2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5.2 Operações executadas estão de acordo com o manual de BPF.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141" w:type="dxa"/>
            <w:gridSpan w:val="2"/>
            <w:shd w:val="clear" w:color="auto" w:fill="auto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5.3  Ações preventivas e corretivas são executadas conforme o descrito no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manual, com registro de data, hora e ação tomada.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8530" w:type="dxa"/>
            <w:gridSpan w:val="6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6. PROGRAMAS DE AUTO CONTROLE (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2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3 itens)</w:t>
            </w:r>
          </w:p>
        </w:tc>
      </w:tr>
      <w:tr w:rsidR="00AE2B64">
        <w:tc>
          <w:tcPr>
            <w:tcW w:w="702" w:type="dxa"/>
            <w:shd w:val="clear" w:color="auto" w:fill="auto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PAC</w:t>
            </w:r>
          </w:p>
        </w:tc>
        <w:tc>
          <w:tcPr>
            <w:tcW w:w="6439" w:type="dxa"/>
            <w:shd w:val="clear" w:color="auto" w:fill="auto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39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</w:t>
            </w:r>
          </w:p>
        </w:tc>
        <w:tc>
          <w:tcPr>
            <w:tcW w:w="505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NC</w:t>
            </w:r>
          </w:p>
        </w:tc>
        <w:tc>
          <w:tcPr>
            <w:tcW w:w="489" w:type="dxa"/>
            <w:gridSpan w:val="2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NA</w:t>
            </w:r>
          </w:p>
        </w:tc>
      </w:tr>
      <w:tr w:rsidR="00AE2B64">
        <w:tc>
          <w:tcPr>
            <w:tcW w:w="702" w:type="dxa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01</w:t>
            </w: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Manutenção (iluminação, águas residuais e calibração).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02</w:t>
            </w: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Água de abastecimento.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03</w:t>
            </w: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Controle integrado de pragas.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vMerge w:val="restart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04</w:t>
            </w: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Programa escrito de hygiene industrial e operacional.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vMerge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Registros de implementação de ação corretiva conforme programa escrito.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vMerge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Registros diários de monitoramento da higienização pré-operacional e ação corretiva.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vMerge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Registros diários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monitoramento da higienização operacional e ação corretiva.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vMerge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Registros de verificação e ação corretiva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vMerge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Identificação do responsável, data e assinatura no programa escrito e em todos os seus registros.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05</w:t>
            </w: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Higiene e hábitos higiênicos dos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funcionários.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06</w:t>
            </w: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Procedimentos sanitários operacionais (PSO).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07</w:t>
            </w: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Controle de matéria-prima (inclusive aquelas destinadas ao aproveitamento condicional), ingredientes e material de embalagem.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08</w:t>
            </w: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Controle de temperaturas.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vMerge w:val="restart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09</w:t>
            </w: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Programa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escrito de Análise de Perigos e Pontos Criticos de Controle.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vMerge/>
            <w:vAlign w:val="center"/>
          </w:tcPr>
          <w:p w:rsidR="00AE2B64" w:rsidRDefault="00AE2B6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Registro de monitoramento e ações corretivas.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vMerge/>
            <w:vAlign w:val="center"/>
          </w:tcPr>
          <w:p w:rsidR="00AE2B64" w:rsidRDefault="00AE2B6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Registro de verificações e ações corretivas.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vMerge/>
            <w:vAlign w:val="center"/>
          </w:tcPr>
          <w:p w:rsidR="00AE2B64" w:rsidRDefault="00AE2B6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Registro de validação do programa escrito.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vMerge/>
            <w:vAlign w:val="center"/>
          </w:tcPr>
          <w:p w:rsidR="00AE2B64" w:rsidRDefault="00AE2B6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Identificação do responsável, data 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assinatura no programa escrito e em todos seus registros.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shd w:val="clear" w:color="auto" w:fill="auto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10</w:t>
            </w: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Análises laboratoriais.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shd w:val="clear" w:color="auto" w:fill="auto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11</w:t>
            </w: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Controle de formulação de produtos e combate a fraude.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shd w:val="clear" w:color="auto" w:fill="auto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12</w:t>
            </w: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Rastreabilidade e recolhimento.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shd w:val="clear" w:color="auto" w:fill="auto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13</w:t>
            </w: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Bem-estar animal.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c>
          <w:tcPr>
            <w:tcW w:w="702" w:type="dxa"/>
            <w:shd w:val="clear" w:color="auto" w:fill="auto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14</w:t>
            </w:r>
          </w:p>
        </w:tc>
        <w:tc>
          <w:tcPr>
            <w:tcW w:w="6439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Identificação, remoção,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segregação e destinação do material especificado de risco (MER).</w:t>
            </w:r>
          </w:p>
        </w:tc>
        <w:tc>
          <w:tcPr>
            <w:tcW w:w="39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505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  <w:tc>
          <w:tcPr>
            <w:tcW w:w="489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rPr>
          <w:gridAfter w:val="1"/>
          <w:wAfter w:w="8" w:type="dxa"/>
          <w:trHeight w:val="241"/>
        </w:trPr>
        <w:tc>
          <w:tcPr>
            <w:tcW w:w="8522" w:type="dxa"/>
            <w:gridSpan w:val="5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DESCRIÇÃO DAS OP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O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RTUNIDADES DE MEL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H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ORIAS OU NÃO CONFORMIDADES</w:t>
            </w:r>
          </w:p>
        </w:tc>
      </w:tr>
      <w:tr w:rsidR="00AE2B64">
        <w:trPr>
          <w:gridAfter w:val="1"/>
          <w:wAfter w:w="8" w:type="dxa"/>
          <w:trHeight w:val="806"/>
        </w:trPr>
        <w:tc>
          <w:tcPr>
            <w:tcW w:w="8522" w:type="dxa"/>
            <w:gridSpan w:val="5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</w:tbl>
    <w:p w:rsidR="00AE2B64" w:rsidRDefault="00AE2B6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E2B64">
        <w:trPr>
          <w:trHeight w:val="241"/>
        </w:trPr>
        <w:tc>
          <w:tcPr>
            <w:tcW w:w="8522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E - CLASSIFICAÇÃO DO ESTABELECIMENTO (15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3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itens totais no relatório)</w:t>
            </w:r>
          </w:p>
        </w:tc>
      </w:tr>
      <w:tr w:rsidR="00AE2B64">
        <w:tc>
          <w:tcPr>
            <w:tcW w:w="8522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Itens ditos como conformes =</w:t>
            </w:r>
          </w:p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Itens ditos como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Não-conformes =</w:t>
            </w:r>
          </w:p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Itens ditos como Não-aplicáveis =</w:t>
            </w:r>
          </w:p>
        </w:tc>
      </w:tr>
      <w:tr w:rsidR="00AE2B64">
        <w:tc>
          <w:tcPr>
            <w:tcW w:w="8522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Cálculo de itens utilizados para classificação do estabelecimento:</w:t>
            </w:r>
          </w:p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 xml:space="preserve">Itens totais - Itens NA: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 xml:space="preserve">153 -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  <w:lang w:val="en-US" w:eastAsia="pt-BR"/>
              </w:rPr>
              <w:t>XXX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  <w:lang w:val="en-US" w:eastAsia="pt-B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 xml:space="preserve">=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  <w:lang w:val="en-US" w:eastAsia="pt-BR"/>
              </w:rPr>
              <w:t>XXX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 xml:space="preserve"> Itens Utilizados</w:t>
            </w:r>
          </w:p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 xml:space="preserve">Classificação de estabelecimento =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nº de itens conforme X 100/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 xml:space="preserve">nº de itens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utilizados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  <w:lang w:val="en-US" w:eastAsia="pt-BR"/>
              </w:rPr>
              <w:t>XXXX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%</w:t>
            </w:r>
          </w:p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 xml:space="preserve">Percentual de Conformidade =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  <w:lang w:val="en-US" w:eastAsia="pt-BR"/>
              </w:rPr>
              <w:t>XXX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 w:eastAsia="pt-BR"/>
              </w:rPr>
              <w:t>%</w:t>
            </w:r>
          </w:p>
        </w:tc>
      </w:tr>
    </w:tbl>
    <w:p w:rsidR="00AE2B64" w:rsidRDefault="00AE2B6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E2B64">
        <w:trPr>
          <w:trHeight w:val="241"/>
        </w:trPr>
        <w:tc>
          <w:tcPr>
            <w:tcW w:w="8522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F -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PARECER</w:t>
            </w:r>
          </w:p>
        </w:tc>
      </w:tr>
      <w:tr w:rsidR="00AE2B64">
        <w:trPr>
          <w:trHeight w:val="875"/>
        </w:trPr>
        <w:tc>
          <w:tcPr>
            <w:tcW w:w="8522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) 85 a 100% de atendimento dos itens - PARECER FAVORÁVEL.</w:t>
            </w:r>
          </w:p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) 75 a 84,99% de atendimento dos itens - PARECER FAVORÁVEL COM RESTRIÇÕES</w:t>
            </w:r>
          </w:p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(  ) 0 a 74,99% de atendimento dos itens -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PARECER NÃO FAVORÁVEL</w:t>
            </w:r>
          </w:p>
        </w:tc>
      </w:tr>
      <w:tr w:rsidR="00AE2B64">
        <w:trPr>
          <w:trHeight w:val="226"/>
        </w:trPr>
        <w:tc>
          <w:tcPr>
            <w:tcW w:w="8522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O estabelecimento fico una mesma classificação em relação a vistoria anterior   (   ) SIM   (   ) NÃO</w:t>
            </w:r>
          </w:p>
        </w:tc>
      </w:tr>
      <w:tr w:rsidR="00AE2B64">
        <w:trPr>
          <w:trHeight w:val="226"/>
        </w:trPr>
        <w:tc>
          <w:tcPr>
            <w:tcW w:w="8522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Houve itens avaliados de forma diferente entre o relatório aplicado pelo SIM e pelo CISA (  ) SIM    (  ) NÃO</w:t>
            </w:r>
          </w:p>
        </w:tc>
      </w:tr>
    </w:tbl>
    <w:p w:rsidR="00AE2B64" w:rsidRDefault="00AE2B6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434"/>
      </w:tblGrid>
      <w:tr w:rsidR="00AE2B64">
        <w:tc>
          <w:tcPr>
            <w:tcW w:w="8522" w:type="dxa"/>
            <w:gridSpan w:val="2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G - ANÁLISE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DOCUMENTAL DO SERVIÇO OFICIAL</w:t>
            </w:r>
          </w:p>
        </w:tc>
      </w:tr>
      <w:tr w:rsidR="00AE2B64">
        <w:tc>
          <w:tcPr>
            <w:tcW w:w="7088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1. A frequência de vistorias foi respeitada e suficiente.</w:t>
            </w:r>
          </w:p>
        </w:tc>
        <w:tc>
          <w:tcPr>
            <w:tcW w:w="1434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) SIM (  ) Não</w:t>
            </w:r>
          </w:p>
        </w:tc>
      </w:tr>
      <w:tr w:rsidR="00AE2B64">
        <w:tc>
          <w:tcPr>
            <w:tcW w:w="7088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2. Houve registro de todo o procedimento de vistoria oficial - relatório de verificação dos programas de autocontrole, respostas com Plano de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Ação.</w:t>
            </w:r>
          </w:p>
        </w:tc>
        <w:tc>
          <w:tcPr>
            <w:tcW w:w="1434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) SIM (  ) Não</w:t>
            </w:r>
          </w:p>
        </w:tc>
      </w:tr>
      <w:tr w:rsidR="00AE2B64">
        <w:tc>
          <w:tcPr>
            <w:tcW w:w="7088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3. Os registros estão completos e condizentes com o encontrado na vistoria de supervisão.</w:t>
            </w:r>
          </w:p>
        </w:tc>
        <w:tc>
          <w:tcPr>
            <w:tcW w:w="1434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) SIM (  ) Não</w:t>
            </w:r>
          </w:p>
        </w:tc>
      </w:tr>
      <w:tr w:rsidR="00AE2B64">
        <w:tc>
          <w:tcPr>
            <w:tcW w:w="7088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4. Os prazos para entrega de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documentos da empresa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do procedimentos de vistoria oficial, foram cumpridos.</w:t>
            </w:r>
          </w:p>
        </w:tc>
        <w:tc>
          <w:tcPr>
            <w:tcW w:w="1434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) SIM (  ) Não</w:t>
            </w:r>
          </w:p>
        </w:tc>
      </w:tr>
      <w:tr w:rsidR="00AE2B64">
        <w:tc>
          <w:tcPr>
            <w:tcW w:w="7088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5. Os prazos para entrega de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documentos do fiscal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do procedimentos de vistoria oficial, foram cumpridos.</w:t>
            </w:r>
          </w:p>
        </w:tc>
        <w:tc>
          <w:tcPr>
            <w:tcW w:w="1434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) SIM (  ) Não</w:t>
            </w:r>
          </w:p>
        </w:tc>
      </w:tr>
      <w:tr w:rsidR="00AE2B64">
        <w:tc>
          <w:tcPr>
            <w:tcW w:w="7088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6. Foram tomadas as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ações fiscais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necessárias nos casos d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e não cumprimento (auto de infração, medida cautelar, entre outros).</w:t>
            </w:r>
          </w:p>
        </w:tc>
        <w:tc>
          <w:tcPr>
            <w:tcW w:w="1434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) SIM (  ) Não</w:t>
            </w:r>
          </w:p>
        </w:tc>
      </w:tr>
      <w:tr w:rsidR="00AE2B64">
        <w:tc>
          <w:tcPr>
            <w:tcW w:w="7088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7. Houve resposta efetiva no estabelecimento às ações fiscais tomadas.</w:t>
            </w:r>
          </w:p>
        </w:tc>
        <w:tc>
          <w:tcPr>
            <w:tcW w:w="1434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) SIM (  ) Não</w:t>
            </w:r>
          </w:p>
        </w:tc>
      </w:tr>
      <w:tr w:rsidR="00AE2B64">
        <w:tc>
          <w:tcPr>
            <w:tcW w:w="7088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8. A frequência de coletas oficiais para análises laboratoriais foi respeitada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.</w:t>
            </w:r>
          </w:p>
        </w:tc>
        <w:tc>
          <w:tcPr>
            <w:tcW w:w="1434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) SIM (  ) Não</w:t>
            </w:r>
          </w:p>
        </w:tc>
      </w:tr>
      <w:tr w:rsidR="00AE2B64">
        <w:tc>
          <w:tcPr>
            <w:tcW w:w="7088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9. O cronograma anual de coletas oficiais para análises laboratoriais foi respeitada.</w:t>
            </w:r>
          </w:p>
        </w:tc>
        <w:tc>
          <w:tcPr>
            <w:tcW w:w="1434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) SIM (  ) Não</w:t>
            </w:r>
          </w:p>
        </w:tc>
      </w:tr>
      <w:tr w:rsidR="00AE2B64">
        <w:tc>
          <w:tcPr>
            <w:tcW w:w="7088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10. Houve registro de todo o procedimento de coleta oficial.</w:t>
            </w:r>
          </w:p>
        </w:tc>
        <w:tc>
          <w:tcPr>
            <w:tcW w:w="1434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) SIM (  ) Não</w:t>
            </w:r>
          </w:p>
        </w:tc>
      </w:tr>
      <w:tr w:rsidR="00AE2B64">
        <w:tc>
          <w:tcPr>
            <w:tcW w:w="7088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11. Os prazos estabelecidos para entrega de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 xml:space="preserve"> documentos da empresa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no cumprimento dos procedimentos de análises laboratoriais foram cumpridos.</w:t>
            </w:r>
          </w:p>
        </w:tc>
        <w:tc>
          <w:tcPr>
            <w:tcW w:w="1434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) SIM (  ) Não</w:t>
            </w:r>
          </w:p>
        </w:tc>
      </w:tr>
      <w:tr w:rsidR="00AE2B64">
        <w:tc>
          <w:tcPr>
            <w:tcW w:w="7088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12. Os prazos estabelecidos para entrega de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 xml:space="preserve"> documentos do fiscal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no cumprimento dos procedime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ntos de análises laboratoriais foram cumpridos.</w:t>
            </w:r>
          </w:p>
        </w:tc>
        <w:tc>
          <w:tcPr>
            <w:tcW w:w="1434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) SIM (  ) Não</w:t>
            </w:r>
          </w:p>
        </w:tc>
      </w:tr>
      <w:tr w:rsidR="00AE2B64">
        <w:tc>
          <w:tcPr>
            <w:tcW w:w="7088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13. Foram tomadas as ações fiscais necessárias nos casos de não conformidades nas análises laboratoriais (auto de infração, medida cautelar, entre outros).</w:t>
            </w:r>
          </w:p>
        </w:tc>
        <w:tc>
          <w:tcPr>
            <w:tcW w:w="1434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) SIM (  ) Não</w:t>
            </w:r>
          </w:p>
        </w:tc>
      </w:tr>
      <w:tr w:rsidR="00AE2B64">
        <w:tc>
          <w:tcPr>
            <w:tcW w:w="8522" w:type="dxa"/>
            <w:gridSpan w:val="2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OBSERVAÇÕES E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SUGESTÕES</w:t>
            </w:r>
          </w:p>
        </w:tc>
      </w:tr>
      <w:tr w:rsidR="00AE2B64">
        <w:trPr>
          <w:trHeight w:val="615"/>
        </w:trPr>
        <w:tc>
          <w:tcPr>
            <w:tcW w:w="8522" w:type="dxa"/>
            <w:gridSpan w:val="2"/>
            <w:shd w:val="clear" w:color="auto" w:fill="auto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</w:tbl>
    <w:p w:rsidR="00AE2B64" w:rsidRDefault="00AE2B6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E2B64">
        <w:tc>
          <w:tcPr>
            <w:tcW w:w="8522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H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- DISPOSIÇÃO FINAL</w:t>
            </w:r>
          </w:p>
        </w:tc>
      </w:tr>
      <w:tr w:rsidR="00AE2B64">
        <w:tc>
          <w:tcPr>
            <w:tcW w:w="8522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A verificação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e avaliação da exe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cução e dos registros implementados pelo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E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stabelecimento, em relação aos requisitos do Departamento de Inspeção Sanitári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do CISA atende as condições para a equivalência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ao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SISBI-POA, indicam que:</w:t>
            </w:r>
          </w:p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 ) Necessita apresentar plano de ação para as adequações das não conformidades e implementação de melhorias.</w:t>
            </w:r>
          </w:p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(   ) Executa as ações conforme os requisitos do SISBI-POA, havendo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oportunidades de melhorias para as quais deve apresentar plano de ação.</w:t>
            </w:r>
          </w:p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(   ) Executa todas as ações conforme os requisitos do SISBI-POA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.</w:t>
            </w:r>
          </w:p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</w:tc>
      </w:tr>
      <w:tr w:rsidR="00AE2B64">
        <w:trPr>
          <w:trHeight w:val="736"/>
        </w:trPr>
        <w:tc>
          <w:tcPr>
            <w:tcW w:w="8522" w:type="dxa"/>
          </w:tcPr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  <w:lang w:val="en-US" w:eastAsia="pt-BR"/>
              </w:rPr>
              <w:t>ENTREGA OBRIGATÓRIA:</w:t>
            </w:r>
          </w:p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O estabelecimento tem o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Prazo de 20 (vinte) DIAS ÚTEIS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para entregar por escrito ao serviço oficial o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Plano de Ação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, descrevendo as medidas corretivas adotadas para cada um dos itens supracitados como NC neste relatório.</w:t>
            </w:r>
          </w:p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O estabelecimento poderá solicitar nova avaliação após decorridos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pt-BR"/>
              </w:rPr>
              <w:t>120 dias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 xml:space="preserve"> da aplicação d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o último relatório.</w:t>
            </w:r>
          </w:p>
        </w:tc>
      </w:tr>
    </w:tbl>
    <w:p w:rsidR="00AE2B64" w:rsidRDefault="00AE2B6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E2B64">
        <w:trPr>
          <w:trHeight w:val="241"/>
        </w:trPr>
        <w:tc>
          <w:tcPr>
            <w:tcW w:w="8522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I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- AUTENTICAÇÃO DO RESPONSÁVEL PEL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A SUPERVISÃO</w:t>
            </w:r>
          </w:p>
        </w:tc>
      </w:tr>
      <w:tr w:rsidR="00AE2B64">
        <w:trPr>
          <w:trHeight w:val="1006"/>
        </w:trPr>
        <w:tc>
          <w:tcPr>
            <w:tcW w:w="8522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Carimbo e Assinatura</w:t>
            </w:r>
          </w:p>
        </w:tc>
      </w:tr>
    </w:tbl>
    <w:p w:rsidR="00AE2B64" w:rsidRDefault="00AE2B6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E2B64">
        <w:trPr>
          <w:trHeight w:val="241"/>
        </w:trPr>
        <w:tc>
          <w:tcPr>
            <w:tcW w:w="8522" w:type="dxa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J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- AUTENTICAÇÃO DO RESPONSÁVEL PEL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O SERVIÇO DE INSPEÇÃO</w:t>
            </w:r>
          </w:p>
        </w:tc>
      </w:tr>
      <w:tr w:rsidR="00AE2B64">
        <w:trPr>
          <w:trHeight w:val="1006"/>
        </w:trPr>
        <w:tc>
          <w:tcPr>
            <w:tcW w:w="8522" w:type="dxa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Carimbo e Assinatura</w:t>
            </w:r>
          </w:p>
        </w:tc>
      </w:tr>
    </w:tbl>
    <w:p w:rsidR="00AE2B64" w:rsidRDefault="00AE2B64">
      <w:pPr>
        <w:spacing w:after="0" w:line="260" w:lineRule="auto"/>
        <w:rPr>
          <w:sz w:val="16"/>
          <w:szCs w:val="16"/>
        </w:rPr>
      </w:pPr>
    </w:p>
    <w:tbl>
      <w:tblPr>
        <w:tblStyle w:val="Tabelacomgrade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8"/>
        <w:gridCol w:w="4384"/>
      </w:tblGrid>
      <w:tr w:rsidR="00AE2B64">
        <w:trPr>
          <w:trHeight w:val="241"/>
        </w:trPr>
        <w:tc>
          <w:tcPr>
            <w:tcW w:w="8522" w:type="dxa"/>
            <w:gridSpan w:val="2"/>
            <w:shd w:val="clear" w:color="auto" w:fill="CFCDCD" w:themeFill="background2" w:themeFillShade="E5"/>
            <w:vAlign w:val="center"/>
          </w:tcPr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K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- AUTENTICAÇÃO DO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RESPONSÁVEL PELO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ESTABELECIMENTO</w:t>
            </w:r>
          </w:p>
        </w:tc>
      </w:tr>
      <w:tr w:rsidR="00AE2B64">
        <w:trPr>
          <w:trHeight w:val="241"/>
        </w:trPr>
        <w:tc>
          <w:tcPr>
            <w:tcW w:w="4138" w:type="dxa"/>
            <w:shd w:val="clear" w:color="auto" w:fill="auto"/>
            <w:vAlign w:val="center"/>
          </w:tcPr>
          <w:p w:rsidR="00AE2B64" w:rsidRDefault="00622F77">
            <w:pPr>
              <w:spacing w:after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NOME:</w:t>
            </w:r>
          </w:p>
        </w:tc>
        <w:tc>
          <w:tcPr>
            <w:tcW w:w="4384" w:type="dxa"/>
            <w:shd w:val="clear" w:color="auto" w:fill="auto"/>
            <w:vAlign w:val="center"/>
          </w:tcPr>
          <w:p w:rsidR="00AE2B64" w:rsidRDefault="00622F77">
            <w:pPr>
              <w:spacing w:after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 w:bidi="ar"/>
              </w:rPr>
              <w:t>CPF:</w:t>
            </w:r>
          </w:p>
        </w:tc>
      </w:tr>
      <w:tr w:rsidR="00AE2B64">
        <w:trPr>
          <w:trHeight w:val="574"/>
        </w:trPr>
        <w:tc>
          <w:tcPr>
            <w:tcW w:w="8522" w:type="dxa"/>
            <w:gridSpan w:val="2"/>
          </w:tcPr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RECEBI CÓPIA DESTE RELATÓRIO EM:</w:t>
            </w:r>
          </w:p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AE2B64" w:rsidRDefault="00622F7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__________ / ______________ / __________</w:t>
            </w:r>
          </w:p>
          <w:p w:rsidR="00AE2B64" w:rsidRDefault="00AE2B6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</w:p>
          <w:p w:rsidR="00AE2B64" w:rsidRDefault="00622F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pt-BR"/>
              </w:rPr>
              <w:t>Carimbo e Assinatura</w:t>
            </w:r>
          </w:p>
        </w:tc>
      </w:tr>
    </w:tbl>
    <w:p w:rsidR="00AE2B64" w:rsidRDefault="00AE2B64">
      <w:pPr>
        <w:spacing w:after="0" w:line="260" w:lineRule="auto"/>
        <w:rPr>
          <w:sz w:val="16"/>
          <w:szCs w:val="16"/>
        </w:rPr>
      </w:pPr>
    </w:p>
    <w:sectPr w:rsidR="00AE2B64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F77" w:rsidRDefault="00622F77">
      <w:pPr>
        <w:spacing w:line="240" w:lineRule="auto"/>
      </w:pPr>
      <w:r>
        <w:separator/>
      </w:r>
    </w:p>
  </w:endnote>
  <w:endnote w:type="continuationSeparator" w:id="0">
    <w:p w:rsidR="00622F77" w:rsidRDefault="00622F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F77" w:rsidRDefault="00622F77">
      <w:pPr>
        <w:spacing w:after="0"/>
      </w:pPr>
      <w:r>
        <w:separator/>
      </w:r>
    </w:p>
  </w:footnote>
  <w:footnote w:type="continuationSeparator" w:id="0">
    <w:p w:rsidR="00622F77" w:rsidRDefault="00622F7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87CA5"/>
    <w:multiLevelType w:val="singleLevel"/>
    <w:tmpl w:val="10087CA5"/>
    <w:lvl w:ilvl="0">
      <w:start w:val="5"/>
      <w:numFmt w:val="upperLetter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08"/>
  <w:hyphenationZone w:val="425"/>
  <w:drawingGridVerticalSpacing w:val="156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C4738EE"/>
    <w:rsid w:val="0002665A"/>
    <w:rsid w:val="000348A5"/>
    <w:rsid w:val="00046EE2"/>
    <w:rsid w:val="000A2CFB"/>
    <w:rsid w:val="000B1011"/>
    <w:rsid w:val="000D61C1"/>
    <w:rsid w:val="0010360E"/>
    <w:rsid w:val="001244B0"/>
    <w:rsid w:val="00194A0E"/>
    <w:rsid w:val="001C3B8C"/>
    <w:rsid w:val="001E547B"/>
    <w:rsid w:val="00233CD3"/>
    <w:rsid w:val="00261F6A"/>
    <w:rsid w:val="003317F3"/>
    <w:rsid w:val="00384DED"/>
    <w:rsid w:val="003B5EAE"/>
    <w:rsid w:val="003F5B30"/>
    <w:rsid w:val="00404BF2"/>
    <w:rsid w:val="00426045"/>
    <w:rsid w:val="004A1EE3"/>
    <w:rsid w:val="004F505F"/>
    <w:rsid w:val="005241CD"/>
    <w:rsid w:val="00555219"/>
    <w:rsid w:val="00585036"/>
    <w:rsid w:val="005F567B"/>
    <w:rsid w:val="00622F77"/>
    <w:rsid w:val="00675D5C"/>
    <w:rsid w:val="00684188"/>
    <w:rsid w:val="00701BF1"/>
    <w:rsid w:val="00764832"/>
    <w:rsid w:val="00771AE8"/>
    <w:rsid w:val="007A514E"/>
    <w:rsid w:val="007A5363"/>
    <w:rsid w:val="007A70A3"/>
    <w:rsid w:val="007C515A"/>
    <w:rsid w:val="007F077C"/>
    <w:rsid w:val="007F59B3"/>
    <w:rsid w:val="00814BD5"/>
    <w:rsid w:val="0082368E"/>
    <w:rsid w:val="008A7CF1"/>
    <w:rsid w:val="008C3984"/>
    <w:rsid w:val="008C79C5"/>
    <w:rsid w:val="00904F94"/>
    <w:rsid w:val="009872A7"/>
    <w:rsid w:val="00A13DF4"/>
    <w:rsid w:val="00A3735D"/>
    <w:rsid w:val="00A849EC"/>
    <w:rsid w:val="00AB0C96"/>
    <w:rsid w:val="00AC220D"/>
    <w:rsid w:val="00AE2B64"/>
    <w:rsid w:val="00B67697"/>
    <w:rsid w:val="00B75D95"/>
    <w:rsid w:val="00BA44C0"/>
    <w:rsid w:val="00C70BF2"/>
    <w:rsid w:val="00CB2E4D"/>
    <w:rsid w:val="00CB7FA0"/>
    <w:rsid w:val="00CD7012"/>
    <w:rsid w:val="00D4644C"/>
    <w:rsid w:val="00D67208"/>
    <w:rsid w:val="00E1299F"/>
    <w:rsid w:val="00EA7B1A"/>
    <w:rsid w:val="00EC015B"/>
    <w:rsid w:val="00EE0E08"/>
    <w:rsid w:val="00F431F1"/>
    <w:rsid w:val="00F52BB0"/>
    <w:rsid w:val="00F821BB"/>
    <w:rsid w:val="00F84684"/>
    <w:rsid w:val="00F90CFF"/>
    <w:rsid w:val="00FE09BF"/>
    <w:rsid w:val="0F845381"/>
    <w:rsid w:val="11D553DD"/>
    <w:rsid w:val="1E9E37B1"/>
    <w:rsid w:val="2328509A"/>
    <w:rsid w:val="25282329"/>
    <w:rsid w:val="2B3F16FA"/>
    <w:rsid w:val="2C4738EE"/>
    <w:rsid w:val="2CE41C36"/>
    <w:rsid w:val="588308A9"/>
    <w:rsid w:val="639A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38F06"/>
  <w15:docId w15:val="{4ED8DA2B-1A0C-484B-92DD-1DE7DFA2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99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3674</Words>
  <Characters>19845</Characters>
  <Application>Microsoft Office Word</Application>
  <DocSecurity>0</DocSecurity>
  <Lines>165</Lines>
  <Paragraphs>46</Paragraphs>
  <ScaleCrop>false</ScaleCrop>
  <Company/>
  <LinksUpToDate>false</LinksUpToDate>
  <CharactersWithSpaces>23473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Mário Roberto Andres</dc:creator>
  <cp:lastModifiedBy>Fabiano José Kaiber</cp:lastModifiedBy>
  <cp:revision>33</cp:revision>
  <dcterms:created xsi:type="dcterms:W3CDTF">2025-01-19T21:25:00Z</dcterms:created>
  <dcterms:modified xsi:type="dcterms:W3CDTF">2025-04-02T17:54:00Z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BE1E6FC0872A4EB1A65DFC5EA9029C22_13</vt:lpwstr>
  </property>
</Properties>
</file>